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ED" w:rsidRDefault="00CB3FEC">
      <w:pPr>
        <w:pStyle w:val="Titre1"/>
        <w:jc w:val="center"/>
        <w:rPr>
          <w:rFonts w:ascii="FangSong_GB2312" w:eastAsia="FangSong_GB2312" w:hAnsi="FangSong_GB2312" w:cs="FangSong_GB2312"/>
          <w:szCs w:val="32"/>
        </w:rPr>
      </w:pPr>
      <w:bookmarkStart w:id="0" w:name="_Toc6558"/>
      <w:bookmarkStart w:id="1" w:name="_GoBack"/>
      <w:bookmarkEnd w:id="1"/>
      <w:r>
        <w:rPr>
          <w:rFonts w:ascii="FangSong_GB2312" w:eastAsia="FangSong_GB2312" w:hAnsi="FangSong_GB2312" w:cs="FangSong_GB2312" w:hint="eastAsia"/>
        </w:rPr>
        <w:t>广东省</w:t>
      </w:r>
      <w:bookmarkEnd w:id="0"/>
    </w:p>
    <w:p w:rsidR="00DA21ED" w:rsidRDefault="00CB3FEC">
      <w:pPr>
        <w:spacing w:line="52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——实施人才安居工程。对新引进国内外顶尖人才、国家级领军人才、省级领军人才，省财政分别给予350万元、250万元、150万元的购房补贴。</w:t>
      </w:r>
    </w:p>
    <w:p w:rsidR="00DA21ED" w:rsidRDefault="00CB3FEC">
      <w:pPr>
        <w:spacing w:line="52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实施“珠江人才计划”，着力引进能够突破关键技术、带动新兴学科、发展高新产业的高层次人才，特别是应用型创新创业领军人才。入选创新创业团队可获省财政1000万至1亿元专项工作经费，入选省领军人才可获省财政500万元专项工作经费和100万元（税后）住房补贴。</w:t>
      </w:r>
    </w:p>
    <w:p w:rsidR="00DA21ED" w:rsidRDefault="00CB3FEC">
      <w:pPr>
        <w:spacing w:line="52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实施“珠江人才计划”子项目“海外专家来粤短期工作资助项目”，面向全球择优资助一批急需紧缺的海外专家短期来粤工作，资助经费用于补助单位聘请海外专家所支付的薪酬，资助金额从10万元到48万元。</w:t>
      </w:r>
    </w:p>
    <w:p w:rsidR="00DA21ED" w:rsidRDefault="00CB3FEC">
      <w:pPr>
        <w:spacing w:line="52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实施“珠江人才计划”子项目“海外青年人才引进计划”，支持外籍（境外）和有留学经历的博士毕业生在广东从事博士后研究工作，分两年给予进站博士后每人60万元生活补贴，出站后留在广东工作的，给予每人40万元住房补贴。</w:t>
      </w:r>
    </w:p>
    <w:p w:rsidR="00DA21ED" w:rsidRDefault="00DA21ED">
      <w:pPr>
        <w:spacing w:line="520" w:lineRule="exact"/>
        <w:rPr>
          <w:rFonts w:ascii="FangSong_GB2312" w:eastAsia="FangSong_GB2312" w:hAnsi="FangSong_GB2312" w:cs="FangSong_GB2312"/>
          <w:sz w:val="32"/>
          <w:szCs w:val="32"/>
        </w:rPr>
      </w:pPr>
    </w:p>
    <w:p w:rsidR="00DA21ED" w:rsidRDefault="00CB3FEC">
      <w:pPr>
        <w:pStyle w:val="Titre1"/>
        <w:jc w:val="center"/>
        <w:rPr>
          <w:rFonts w:ascii="FangSong_GB2312" w:eastAsia="FangSong_GB2312" w:hAnsi="FangSong_GB2312" w:cs="FangSong_GB2312"/>
        </w:rPr>
      </w:pPr>
      <w:bookmarkStart w:id="2" w:name="_Toc22735"/>
      <w:r>
        <w:rPr>
          <w:rFonts w:ascii="FangSong_GB2312" w:eastAsia="FangSong_GB2312" w:hAnsi="FangSong_GB2312" w:cs="FangSong_GB2312" w:hint="eastAsia"/>
        </w:rPr>
        <w:t>广州市</w:t>
      </w:r>
      <w:bookmarkEnd w:id="2"/>
    </w:p>
    <w:p w:rsidR="00DA21ED" w:rsidRDefault="00CB3FEC">
      <w:pPr>
        <w:spacing w:line="580" w:lineRule="exact"/>
        <w:ind w:firstLineChars="221" w:firstLine="707"/>
        <w:jc w:val="left"/>
        <w:rPr>
          <w:rFonts w:ascii="FangSong_GB2312" w:eastAsia="FangSong_GB2312" w:hAnsi="FangSong_GB2312" w:cs="FangSong_GB2312"/>
          <w:bCs/>
          <w:sz w:val="32"/>
          <w:szCs w:val="32"/>
        </w:rPr>
      </w:pPr>
      <w:r>
        <w:rPr>
          <w:rFonts w:ascii="FangSong_GB2312" w:eastAsia="FangSong_GB2312" w:hAnsi="FangSong_GB2312" w:cs="FangSong_GB2312" w:hint="eastAsia"/>
          <w:bCs/>
          <w:sz w:val="32"/>
          <w:szCs w:val="32"/>
        </w:rPr>
        <w:t>——支持创新领军团队。5年内对在先进制造业、战略性新兴产业和生产性服务业领域内企业和新型研发机构承担新产品、新技术、新工艺研发攻关项目的约50个高端创新团队，分</w:t>
      </w:r>
      <w:r>
        <w:rPr>
          <w:rFonts w:ascii="FangSong_GB2312" w:eastAsia="FangSong_GB2312" w:hAnsi="FangSong_GB2312" w:cs="FangSong_GB2312" w:hint="eastAsia"/>
          <w:bCs/>
          <w:sz w:val="32"/>
          <w:szCs w:val="32"/>
        </w:rPr>
        <w:lastRenderedPageBreak/>
        <w:t>别给予300万元人才经费资助和最高3000万元的项目经费资助，并提供首购首用风险补偿的工作支持。</w:t>
      </w:r>
    </w:p>
    <w:p w:rsidR="00DA21ED" w:rsidRDefault="00CB3FEC">
      <w:pPr>
        <w:spacing w:line="580" w:lineRule="exact"/>
        <w:ind w:firstLineChars="221" w:firstLine="707"/>
        <w:jc w:val="left"/>
        <w:rPr>
          <w:rFonts w:ascii="FangSong_GB2312" w:eastAsia="FangSong_GB2312" w:hAnsi="FangSong_GB2312" w:cs="FangSong_GB2312"/>
          <w:bCs/>
          <w:sz w:val="32"/>
          <w:szCs w:val="32"/>
        </w:rPr>
      </w:pPr>
      <w:r>
        <w:rPr>
          <w:rFonts w:ascii="FangSong_GB2312" w:eastAsia="FangSong_GB2312" w:hAnsi="FangSong_GB2312" w:cs="FangSong_GB2312" w:hint="eastAsia"/>
          <w:bCs/>
          <w:sz w:val="32"/>
          <w:szCs w:val="32"/>
        </w:rPr>
        <w:t>——产业发展和创新人才补贴。每年对1000名在企业中担任管理、研发、生产、财务、销售等岗位高级职务的产业高端人才，以及2000名具有较高能力和技术水平、从事企业核心业务的产业急需紧缺人才，按其上一年度对市发展的贡献给予一定额度的薪酬补贴，最高每人不超过150万元。</w:t>
      </w:r>
    </w:p>
    <w:p w:rsidR="00DA21ED" w:rsidRDefault="00CB3FEC">
      <w:pPr>
        <w:pStyle w:val="Titre1"/>
        <w:jc w:val="center"/>
        <w:rPr>
          <w:rFonts w:ascii="FangSong_GB2312" w:eastAsia="FangSong_GB2312" w:hAnsi="FangSong_GB2312" w:cs="FangSong_GB2312"/>
        </w:rPr>
      </w:pPr>
      <w:bookmarkStart w:id="3" w:name="_Toc525"/>
      <w:r>
        <w:rPr>
          <w:rFonts w:ascii="FangSong_GB2312" w:eastAsia="FangSong_GB2312" w:hAnsi="FangSong_GB2312" w:cs="FangSong_GB2312" w:hint="eastAsia"/>
        </w:rPr>
        <w:t>深圳市</w:t>
      </w:r>
      <w:bookmarkEnd w:id="3"/>
    </w:p>
    <w:p w:rsidR="00DA21ED" w:rsidRDefault="00CB3FEC">
      <w:pPr>
        <w:spacing w:line="58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z w:val="32"/>
          <w:szCs w:val="32"/>
        </w:rPr>
        <w:t>高层次人才学术研修津贴。根据会议类型和参会类型，执行不同标准：（1）参加国际会议，作口头学术报告的，津贴2万元；收录论文的，津贴1万元。（2）参加国家级学术会议，作口头学术报告的，津贴1万元；收录论文的，津贴0.5万元。</w:t>
      </w:r>
    </w:p>
    <w:p w:rsidR="00DA21ED" w:rsidRDefault="00CB3FEC">
      <w:pPr>
        <w:spacing w:line="58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z w:val="32"/>
          <w:szCs w:val="32"/>
        </w:rPr>
        <w:t>大力扶持人才创新创业。发挥市政府投资引导基金引导作用，依托市属国有金融机构参股，并吸引社会资本和社会力量参与，设立80亿元规模左右的人才创新创业基金。</w:t>
      </w:r>
    </w:p>
    <w:p w:rsidR="00DA21ED" w:rsidRDefault="00CB3FEC" w:rsidP="00E7563B">
      <w:pPr>
        <w:spacing w:line="580" w:lineRule="exact"/>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 xml:space="preserve">    </w:t>
      </w: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z w:val="32"/>
          <w:szCs w:val="32"/>
        </w:rPr>
        <w:t>高层次专业人才奖励补贴。经评审认定的海内外高层次人才“团队+项目”，给予最高1亿元资助，同时对高层次创新创业预备项目团队给予最高500万元的资助。</w:t>
      </w:r>
    </w:p>
    <w:p w:rsidR="00DA21ED" w:rsidRDefault="00CB3FEC">
      <w:pPr>
        <w:spacing w:line="58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z w:val="32"/>
          <w:szCs w:val="32"/>
        </w:rPr>
        <w:t>引才伯乐奖。每引进一名两院院士等杰出人才，奖励20万元；每引进一名国家“千人计划”和“万人计划”人才、广东省“珠江人才计划”领军人才、市国家级领军人才和地方级领军人才、海外高层次A类和B类人才，奖励10万元。每个</w:t>
      </w:r>
      <w:r>
        <w:rPr>
          <w:rFonts w:ascii="FangSong_GB2312" w:eastAsia="FangSong_GB2312" w:hAnsi="FangSong_GB2312" w:cs="FangSong_GB2312" w:hint="eastAsia"/>
          <w:sz w:val="32"/>
          <w:szCs w:val="32"/>
        </w:rPr>
        <w:lastRenderedPageBreak/>
        <w:t>新入选广东省“珠江人才计划”团队或“孔雀计划”团队，奖励15万元。由符合市杰出人才认定标准的人才作为团队带头人的创新创业团队，贡献突出、影响较大的，经市人才工作领导小组办公室审定，可申请最高至200万元的奖励。</w:t>
      </w:r>
    </w:p>
    <w:p w:rsidR="00DA21ED" w:rsidRDefault="00CB3FEC">
      <w:pPr>
        <w:pStyle w:val="Titre1"/>
        <w:jc w:val="center"/>
        <w:rPr>
          <w:rFonts w:ascii="FangSong_GB2312" w:eastAsia="FangSong_GB2312" w:hAnsi="FangSong_GB2312" w:cs="FangSong_GB2312"/>
        </w:rPr>
      </w:pPr>
      <w:bookmarkStart w:id="4" w:name="_Toc1501"/>
      <w:r>
        <w:rPr>
          <w:rFonts w:ascii="FangSong_GB2312" w:eastAsia="FangSong_GB2312" w:hAnsi="FangSong_GB2312" w:cs="FangSong_GB2312" w:hint="eastAsia"/>
        </w:rPr>
        <w:t>佛山市顺德区</w:t>
      </w:r>
      <w:bookmarkEnd w:id="4"/>
    </w:p>
    <w:p w:rsidR="00DA21ED" w:rsidRDefault="00CB3FEC">
      <w:pPr>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z w:val="32"/>
          <w:szCs w:val="32"/>
        </w:rPr>
        <w:t>引进的海外高层次人才，经区高层次人才确认后，给予20-600万元的购房补贴，2000-6000元的租房补贴，2000-200000元的薪酬补贴；对于引进到区科研工作站的海外博士后，给予工资外津贴2500元/人/月，并发放10万元的进站项目科研补贴，对于出站后与区用人单位签订三个以上劳动合同并落户区或在区购房的，给予20万元的综合补贴。</w:t>
      </w:r>
    </w:p>
    <w:p w:rsidR="00DA21ED" w:rsidRDefault="00CB3FEC">
      <w:pPr>
        <w:pStyle w:val="Titre1"/>
        <w:jc w:val="center"/>
        <w:rPr>
          <w:rFonts w:ascii="FangSong_GB2312" w:eastAsia="FangSong_GB2312" w:hAnsi="FangSong_GB2312" w:cs="FangSong_GB2312"/>
        </w:rPr>
      </w:pPr>
      <w:bookmarkStart w:id="5" w:name="_Toc26942"/>
      <w:r>
        <w:rPr>
          <w:rFonts w:ascii="FangSong_GB2312" w:eastAsia="FangSong_GB2312" w:hAnsi="FangSong_GB2312" w:cs="FangSong_GB2312" w:hint="eastAsia"/>
        </w:rPr>
        <w:t>东莞市</w:t>
      </w:r>
      <w:bookmarkEnd w:id="5"/>
    </w:p>
    <w:p w:rsidR="00DA21ED" w:rsidRDefault="00CB3FEC">
      <w:pPr>
        <w:ind w:firstLine="540"/>
        <w:rPr>
          <w:rFonts w:ascii="FangSong_GB2312" w:eastAsia="FangSong_GB2312" w:hAnsi="FangSong_GB2312" w:cs="FangSong_GB231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z w:val="32"/>
          <w:szCs w:val="32"/>
        </w:rPr>
        <w:t>引进国际国内先进水平创新科研团队。给予500-1000万元一次性创业资助资金；团队项目通过结题验收后，根据各项指标综合评价，并一次性给予不高于其立项资助经费额度的奖励经费。</w:t>
      </w:r>
    </w:p>
    <w:p w:rsidR="00DA21ED" w:rsidRDefault="00CB3FEC">
      <w:pPr>
        <w:ind w:firstLine="540"/>
        <w:rPr>
          <w:rFonts w:ascii="FangSong_GB2312" w:eastAsia="FangSong_GB2312" w:hAnsi="FangSong_GB2312" w:cs="FangSong_GB231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z w:val="32"/>
          <w:szCs w:val="32"/>
        </w:rPr>
        <w:t>住房补贴。来莞工作且未享受其他购房优惠政策的，按特色人才类别给予30-250万元购房补贴；来莞工作且未在本市购买市场商品房的，可享受每月1500-5000元租房补贴。</w:t>
      </w:r>
    </w:p>
    <w:p w:rsidR="00DA21ED" w:rsidRDefault="00CB3FEC">
      <w:pPr>
        <w:spacing w:line="0" w:lineRule="atLeast"/>
        <w:ind w:firstLineChars="200" w:firstLine="640"/>
        <w:rPr>
          <w:rFonts w:ascii="FangSong_GB2312" w:eastAsia="FangSong_GB2312" w:hAnsi="FangSong_GB2312" w:cs="FangSong_GB2312"/>
          <w:snapToGrid w:val="0"/>
          <w:spacing w:val="6"/>
          <w:kern w:val="3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napToGrid w:val="0"/>
          <w:spacing w:val="6"/>
          <w:kern w:val="32"/>
          <w:sz w:val="32"/>
          <w:szCs w:val="32"/>
        </w:rPr>
        <w:t>根据市产业需求，引进掌握关键技术、市场前景好的</w:t>
      </w:r>
      <w:r>
        <w:rPr>
          <w:rFonts w:ascii="FangSong_GB2312" w:eastAsia="FangSong_GB2312" w:hAnsi="FangSong_GB2312" w:cs="FangSong_GB2312" w:hint="eastAsia"/>
          <w:snapToGrid w:val="0"/>
          <w:spacing w:val="6"/>
          <w:kern w:val="32"/>
          <w:sz w:val="32"/>
          <w:szCs w:val="32"/>
        </w:rPr>
        <w:lastRenderedPageBreak/>
        <w:t>创新创业团队，按国际领先、国内领先、省内领先三个档次，分别给予最高3000万元、2000万元、1000万元资助。</w:t>
      </w:r>
    </w:p>
    <w:p w:rsidR="00DA21ED" w:rsidRDefault="00CB3FEC">
      <w:pPr>
        <w:spacing w:line="0" w:lineRule="atLeast"/>
        <w:ind w:firstLineChars="200" w:firstLine="640"/>
        <w:rPr>
          <w:rFonts w:ascii="FangSong_GB2312" w:eastAsia="FangSong_GB2312" w:hAnsi="FangSong_GB2312" w:cs="FangSong_GB2312"/>
          <w:snapToGrid w:val="0"/>
          <w:spacing w:val="6"/>
          <w:kern w:val="3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napToGrid w:val="0"/>
          <w:spacing w:val="6"/>
          <w:kern w:val="32"/>
          <w:sz w:val="32"/>
          <w:szCs w:val="32"/>
        </w:rPr>
        <w:t>推荐创新创业团队申报“珠江人才计划”，对入选团队在省财政资助基础上给予1∶1比例的配套资助。</w:t>
      </w:r>
    </w:p>
    <w:p w:rsidR="00DA21ED" w:rsidRDefault="00CB3FEC">
      <w:pPr>
        <w:spacing w:line="0" w:lineRule="atLeast"/>
        <w:ind w:firstLineChars="200" w:firstLine="640"/>
        <w:rPr>
          <w:rFonts w:ascii="FangSong_GB2312" w:eastAsia="FangSong_GB2312" w:hAnsi="FangSong_GB2312" w:cs="FangSong_GB2312"/>
          <w:snapToGrid w:val="0"/>
          <w:spacing w:val="6"/>
          <w:kern w:val="3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napToGrid w:val="0"/>
          <w:spacing w:val="6"/>
          <w:kern w:val="32"/>
          <w:sz w:val="32"/>
          <w:szCs w:val="32"/>
        </w:rPr>
        <w:t>对市入选国家“千人计划”“万人计划”以及“珠江人才计划”领军人才的，在中央或省财政资助基础上给予1∶1比例的配套资助。</w:t>
      </w:r>
    </w:p>
    <w:p w:rsidR="00DA21ED" w:rsidRDefault="00CB3FEC">
      <w:pPr>
        <w:spacing w:line="0" w:lineRule="atLeast"/>
        <w:ind w:firstLineChars="200" w:firstLine="640"/>
        <w:rPr>
          <w:rFonts w:ascii="FangSong_GB2312" w:eastAsia="FangSong_GB2312" w:hAnsi="FangSong_GB2312" w:cs="FangSong_GB2312"/>
          <w:snapToGrid w:val="0"/>
          <w:spacing w:val="6"/>
          <w:kern w:val="3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napToGrid w:val="0"/>
          <w:spacing w:val="6"/>
          <w:kern w:val="32"/>
          <w:sz w:val="32"/>
          <w:szCs w:val="32"/>
        </w:rPr>
        <w:t>入选“广东特支计划”的，在省财政资助基础上给予1∶1比例的配套资助。</w:t>
      </w:r>
    </w:p>
    <w:p w:rsidR="00DA21ED" w:rsidRDefault="00CB3FEC">
      <w:pPr>
        <w:spacing w:line="0" w:lineRule="atLeast"/>
        <w:ind w:firstLineChars="200" w:firstLine="640"/>
        <w:rPr>
          <w:rFonts w:ascii="FangSong_GB2312" w:eastAsia="FangSong_GB2312" w:hAnsi="FangSong_GB2312" w:cs="FangSong_GB2312"/>
          <w:snapToGrid w:val="0"/>
          <w:spacing w:val="6"/>
          <w:kern w:val="3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napToGrid w:val="0"/>
          <w:spacing w:val="6"/>
          <w:kern w:val="32"/>
          <w:sz w:val="32"/>
          <w:szCs w:val="32"/>
        </w:rPr>
        <w:t>给予市在站博士后2年共30万元科研经费和生活补贴，获得中国博士后科学基金资助的，给予1∶1比例的配套扶持。</w:t>
      </w:r>
    </w:p>
    <w:p w:rsidR="00DA21ED" w:rsidRDefault="00CB3FEC">
      <w:pPr>
        <w:spacing w:line="0" w:lineRule="atLeast"/>
        <w:ind w:firstLineChars="200" w:firstLine="640"/>
        <w:rPr>
          <w:rFonts w:ascii="FangSong_GB2312" w:eastAsia="FangSong_GB2312" w:hAnsi="FangSong_GB2312" w:cs="FangSong_GB2312"/>
          <w:snapToGrid w:val="0"/>
          <w:spacing w:val="6"/>
          <w:kern w:val="3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napToGrid w:val="0"/>
          <w:spacing w:val="6"/>
          <w:kern w:val="32"/>
          <w:sz w:val="32"/>
          <w:szCs w:val="32"/>
        </w:rPr>
        <w:t>对市级工艺美术大师工作室、技能大师工作室分别给予40万元、10万元的经费资助；被认定为国家级或省级大师工作室的，在中央或省财政资助基础上给予1∶1比例的配套资助。以职业（技工）院校为主，建设一批高技能人才培训基地，对评定的市级高技能人才培训基地给予100万元的一次性补贴。</w:t>
      </w:r>
    </w:p>
    <w:p w:rsidR="00DA21ED" w:rsidRDefault="00CB3FEC">
      <w:pPr>
        <w:spacing w:line="0" w:lineRule="atLeast"/>
        <w:ind w:firstLineChars="200" w:firstLine="640"/>
        <w:rPr>
          <w:rFonts w:ascii="FangSong_GB2312" w:eastAsia="FangSong_GB2312" w:hAnsi="FangSong_GB2312" w:cs="FangSong_GB2312"/>
          <w:snapToGrid w:val="0"/>
          <w:spacing w:val="6"/>
          <w:kern w:val="32"/>
          <w:sz w:val="32"/>
          <w:szCs w:val="32"/>
        </w:rPr>
      </w:pPr>
      <w:r>
        <w:rPr>
          <w:rFonts w:ascii="FangSong_GB2312" w:eastAsia="FangSong_GB2312" w:hAnsi="FangSong_GB2312" w:cs="FangSong_GB2312" w:hint="eastAsia"/>
          <w:bCs/>
          <w:sz w:val="32"/>
          <w:szCs w:val="32"/>
        </w:rPr>
        <w:t>——</w:t>
      </w:r>
      <w:r>
        <w:rPr>
          <w:rFonts w:ascii="FangSong_GB2312" w:eastAsia="FangSong_GB2312" w:hAnsi="FangSong_GB2312" w:cs="FangSong_GB2312" w:hint="eastAsia"/>
          <w:snapToGrid w:val="0"/>
          <w:spacing w:val="6"/>
          <w:kern w:val="32"/>
          <w:sz w:val="32"/>
          <w:szCs w:val="32"/>
        </w:rPr>
        <w:t>政府津贴。经认定的海外高层次人才可分层次享受每月1000-5000元的市政府特殊津贴，享受期为3年。</w:t>
      </w:r>
    </w:p>
    <w:p w:rsidR="00DA21ED" w:rsidRDefault="00CB3FEC">
      <w:pPr>
        <w:pStyle w:val="Titre1"/>
        <w:jc w:val="center"/>
        <w:rPr>
          <w:rFonts w:ascii="FangSong_GB2312" w:eastAsia="FangSong_GB2312" w:hAnsi="FangSong_GB2312" w:cs="FangSong_GB2312"/>
        </w:rPr>
      </w:pPr>
      <w:bookmarkStart w:id="6" w:name="_Toc16576"/>
      <w:r>
        <w:rPr>
          <w:rFonts w:ascii="FangSong_GB2312" w:eastAsia="FangSong_GB2312" w:hAnsi="FangSong_GB2312" w:cs="FangSong_GB2312" w:hint="eastAsia"/>
        </w:rPr>
        <w:t>惠州</w:t>
      </w:r>
      <w:bookmarkEnd w:id="6"/>
      <w:r>
        <w:rPr>
          <w:rFonts w:ascii="FangSong_GB2312" w:eastAsia="FangSong_GB2312" w:hAnsi="FangSong_GB2312" w:cs="FangSong_GB2312" w:hint="eastAsia"/>
        </w:rPr>
        <w:t>市</w:t>
      </w:r>
    </w:p>
    <w:p w:rsidR="00DA21ED" w:rsidRDefault="00CB3FEC">
      <w:pPr>
        <w:ind w:firstLineChars="221" w:firstLine="70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——实施“天鹅惠聚工程”，对入选的具有国际、国内领先水平的科技创新团队和掌握核心技术的科技领军人才分别给予最高1000万元和100万元工作经费支持</w:t>
      </w:r>
    </w:p>
    <w:p w:rsidR="00DA21ED" w:rsidRDefault="00CB3FEC" w:rsidP="003C70F7">
      <w:pPr>
        <w:ind w:firstLineChars="221" w:firstLine="70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——对具有国际先进、国内领先水平、省内领先水平的科技创新团队，分别给予1000万元、500万元、200万元的专项工作经费资助。</w:t>
      </w:r>
    </w:p>
    <w:sectPr w:rsidR="00DA21ED">
      <w:footerReference w:type="default" r:id="rId8"/>
      <w:pgSz w:w="11906" w:h="16838"/>
      <w:pgMar w:top="1440" w:right="1576" w:bottom="1440" w:left="1576"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7F" w:rsidRDefault="00DD0E7F">
      <w:r>
        <w:separator/>
      </w:r>
    </w:p>
  </w:endnote>
  <w:endnote w:type="continuationSeparator" w:id="0">
    <w:p w:rsidR="00DD0E7F" w:rsidRDefault="00DD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ED" w:rsidRDefault="00DD0E7F">
    <w:pPr>
      <w:pStyle w:val="Pieddepage"/>
      <w:jc w:val="right"/>
    </w:pPr>
    <w:r>
      <w:pict>
        <v:rect id="Text Box 1" o:spid="_x0000_s2049" style="position:absolute;left:0;text-align:left;margin-left:0;margin-top:0;width:49.05pt;height:18.15pt;z-index:251658240;mso-wrap-style:none;mso-position-horizontal:center;mso-position-horizontal-relative:margin" o:preferrelative="t" filled="f" stroked="f">
          <v:textbox style="mso-fit-shape-to-text:t" inset="0,0,0,0">
            <w:txbxContent>
              <w:p w:rsidR="00DA21ED" w:rsidRDefault="00CB3FEC">
                <w:pPr>
                  <w:pStyle w:val="Pieddepage"/>
                  <w:jc w:val="right"/>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 xml:space="preserve">— </w:t>
                </w:r>
                <w:r>
                  <w:rPr>
                    <w:rFonts w:ascii="FangSong_GB2312" w:eastAsia="FangSong_GB2312" w:hAnsi="FangSong_GB2312" w:cs="FangSong_GB2312" w:hint="eastAsia"/>
                    <w:sz w:val="28"/>
                    <w:szCs w:val="28"/>
                  </w:rPr>
                  <w:fldChar w:fldCharType="begin"/>
                </w:r>
                <w:r>
                  <w:rPr>
                    <w:rFonts w:ascii="FangSong_GB2312" w:eastAsia="FangSong_GB2312" w:hAnsi="FangSong_GB2312" w:cs="FangSong_GB2312" w:hint="eastAsia"/>
                    <w:sz w:val="28"/>
                    <w:szCs w:val="28"/>
                  </w:rPr>
                  <w:instrText>PAGE   \* MERGEFORMAT</w:instrText>
                </w:r>
                <w:r>
                  <w:rPr>
                    <w:rFonts w:ascii="FangSong_GB2312" w:eastAsia="FangSong_GB2312" w:hAnsi="FangSong_GB2312" w:cs="FangSong_GB2312" w:hint="eastAsia"/>
                    <w:sz w:val="28"/>
                    <w:szCs w:val="28"/>
                  </w:rPr>
                  <w:fldChar w:fldCharType="separate"/>
                </w:r>
                <w:r w:rsidR="003C70F7" w:rsidRPr="003C70F7">
                  <w:rPr>
                    <w:noProof/>
                  </w:rPr>
                  <w:t>1</w:t>
                </w:r>
                <w:r>
                  <w:rPr>
                    <w:rFonts w:ascii="FangSong_GB2312" w:eastAsia="FangSong_GB2312" w:hAnsi="FangSong_GB2312" w:cs="FangSong_GB2312" w:hint="eastAsia"/>
                    <w:sz w:val="28"/>
                    <w:szCs w:val="28"/>
                  </w:rPr>
                  <w:fldChar w:fldCharType="end"/>
                </w:r>
                <w:r>
                  <w:rPr>
                    <w:rFonts w:ascii="FangSong_GB2312" w:eastAsia="FangSong_GB2312" w:hAnsi="FangSong_GB2312" w:cs="FangSong_GB2312" w:hint="eastAsia"/>
                    <w:sz w:val="28"/>
                    <w:szCs w:val="28"/>
                  </w:rPr>
                  <w:t xml:space="preserve"> —</w:t>
                </w:r>
              </w:p>
            </w:txbxContent>
          </v:textbox>
          <w10:wrap anchorx="margin"/>
        </v:rect>
      </w:pict>
    </w:r>
  </w:p>
  <w:p w:rsidR="00DA21ED" w:rsidRDefault="00DA21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7F" w:rsidRDefault="00DD0E7F">
      <w:r>
        <w:separator/>
      </w:r>
    </w:p>
  </w:footnote>
  <w:footnote w:type="continuationSeparator" w:id="0">
    <w:p w:rsidR="00DD0E7F" w:rsidRDefault="00DD0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05E1D"/>
    <w:rsid w:val="00004D7A"/>
    <w:rsid w:val="00016376"/>
    <w:rsid w:val="00023ADD"/>
    <w:rsid w:val="000379AA"/>
    <w:rsid w:val="000844D9"/>
    <w:rsid w:val="000B121D"/>
    <w:rsid w:val="00107298"/>
    <w:rsid w:val="0014760A"/>
    <w:rsid w:val="00165DA9"/>
    <w:rsid w:val="00183799"/>
    <w:rsid w:val="00192047"/>
    <w:rsid w:val="001B2064"/>
    <w:rsid w:val="001B552A"/>
    <w:rsid w:val="001F76A1"/>
    <w:rsid w:val="00224C9C"/>
    <w:rsid w:val="0023031A"/>
    <w:rsid w:val="00240AFF"/>
    <w:rsid w:val="00256E3F"/>
    <w:rsid w:val="002732CA"/>
    <w:rsid w:val="00296749"/>
    <w:rsid w:val="002D1892"/>
    <w:rsid w:val="002F5241"/>
    <w:rsid w:val="00301BB2"/>
    <w:rsid w:val="0033667E"/>
    <w:rsid w:val="00371426"/>
    <w:rsid w:val="003723F6"/>
    <w:rsid w:val="00375614"/>
    <w:rsid w:val="003800F5"/>
    <w:rsid w:val="00380C49"/>
    <w:rsid w:val="00380DAB"/>
    <w:rsid w:val="003B5ECB"/>
    <w:rsid w:val="003C20FE"/>
    <w:rsid w:val="003C70F7"/>
    <w:rsid w:val="003D120E"/>
    <w:rsid w:val="004021E5"/>
    <w:rsid w:val="004055D1"/>
    <w:rsid w:val="00405F4F"/>
    <w:rsid w:val="004132DC"/>
    <w:rsid w:val="00433EAE"/>
    <w:rsid w:val="00442E18"/>
    <w:rsid w:val="0045574E"/>
    <w:rsid w:val="004B56A4"/>
    <w:rsid w:val="004C0C06"/>
    <w:rsid w:val="004C3A0F"/>
    <w:rsid w:val="004D1662"/>
    <w:rsid w:val="004E04FA"/>
    <w:rsid w:val="004E7FF7"/>
    <w:rsid w:val="004F08F9"/>
    <w:rsid w:val="00525215"/>
    <w:rsid w:val="00546ABE"/>
    <w:rsid w:val="00571A74"/>
    <w:rsid w:val="005B7C1D"/>
    <w:rsid w:val="005D3F91"/>
    <w:rsid w:val="005E2631"/>
    <w:rsid w:val="00675018"/>
    <w:rsid w:val="006F3DB5"/>
    <w:rsid w:val="0078247D"/>
    <w:rsid w:val="007961EF"/>
    <w:rsid w:val="007A2243"/>
    <w:rsid w:val="007A2E73"/>
    <w:rsid w:val="007A39F6"/>
    <w:rsid w:val="007A64FC"/>
    <w:rsid w:val="00805E1D"/>
    <w:rsid w:val="00821014"/>
    <w:rsid w:val="00866053"/>
    <w:rsid w:val="008B03A3"/>
    <w:rsid w:val="008D24AC"/>
    <w:rsid w:val="00984B01"/>
    <w:rsid w:val="009A1C05"/>
    <w:rsid w:val="00A323C1"/>
    <w:rsid w:val="00A4791E"/>
    <w:rsid w:val="00A57FEB"/>
    <w:rsid w:val="00A739CD"/>
    <w:rsid w:val="00AE71FA"/>
    <w:rsid w:val="00B43F16"/>
    <w:rsid w:val="00B504ED"/>
    <w:rsid w:val="00B947F4"/>
    <w:rsid w:val="00BC6096"/>
    <w:rsid w:val="00BE5141"/>
    <w:rsid w:val="00C66716"/>
    <w:rsid w:val="00C6672B"/>
    <w:rsid w:val="00C87D52"/>
    <w:rsid w:val="00CB3FEC"/>
    <w:rsid w:val="00CD6B67"/>
    <w:rsid w:val="00D11AEE"/>
    <w:rsid w:val="00D1452F"/>
    <w:rsid w:val="00D61B0F"/>
    <w:rsid w:val="00D8552E"/>
    <w:rsid w:val="00DA21ED"/>
    <w:rsid w:val="00DD0E7F"/>
    <w:rsid w:val="00E7563B"/>
    <w:rsid w:val="00E817E2"/>
    <w:rsid w:val="00EB095B"/>
    <w:rsid w:val="00EC6087"/>
    <w:rsid w:val="00EF07DF"/>
    <w:rsid w:val="00EF5083"/>
    <w:rsid w:val="00F25300"/>
    <w:rsid w:val="00F556EE"/>
    <w:rsid w:val="00F67CB8"/>
    <w:rsid w:val="00F9192C"/>
    <w:rsid w:val="00F9553B"/>
    <w:rsid w:val="00FE0672"/>
    <w:rsid w:val="00FF37D1"/>
    <w:rsid w:val="00FF5DA2"/>
    <w:rsid w:val="06D61C4C"/>
    <w:rsid w:val="0C897FA2"/>
    <w:rsid w:val="137333F8"/>
    <w:rsid w:val="148C1946"/>
    <w:rsid w:val="14B95C8D"/>
    <w:rsid w:val="14C3401F"/>
    <w:rsid w:val="192C06DB"/>
    <w:rsid w:val="1C3F7DEE"/>
    <w:rsid w:val="20A36C18"/>
    <w:rsid w:val="20F879A7"/>
    <w:rsid w:val="2CE341B5"/>
    <w:rsid w:val="33F049AA"/>
    <w:rsid w:val="388C0E52"/>
    <w:rsid w:val="3AF834CA"/>
    <w:rsid w:val="3BB02C79"/>
    <w:rsid w:val="3CB44AA5"/>
    <w:rsid w:val="3F970BAB"/>
    <w:rsid w:val="407A60D5"/>
    <w:rsid w:val="48DF209C"/>
    <w:rsid w:val="4F66184E"/>
    <w:rsid w:val="51640797"/>
    <w:rsid w:val="52EF5F1D"/>
    <w:rsid w:val="5B3A7AB8"/>
    <w:rsid w:val="5E3D71AC"/>
    <w:rsid w:val="62E930A8"/>
    <w:rsid w:val="67F33A1A"/>
    <w:rsid w:val="68EC3C32"/>
    <w:rsid w:val="6A120191"/>
    <w:rsid w:val="6FEB702D"/>
    <w:rsid w:val="701C078F"/>
    <w:rsid w:val="73704370"/>
    <w:rsid w:val="759A5F7F"/>
    <w:rsid w:val="796C082F"/>
    <w:rsid w:val="7CF3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E8789D4"/>
  <w15:docId w15:val="{B6ABB69A-8DD5-40DD-A490-7784438E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semiHidden="1" w:uiPriority="5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jc w:val="both"/>
    </w:pPr>
    <w:rPr>
      <w:rFonts w:ascii="Calibri" w:hAnsi="Calibri" w:cs="SimHei"/>
      <w:kern w:val="2"/>
      <w:sz w:val="21"/>
      <w:szCs w:val="22"/>
    </w:rPr>
  </w:style>
  <w:style w:type="paragraph" w:styleId="Titre1">
    <w:name w:val="heading 1"/>
    <w:basedOn w:val="Normal"/>
    <w:next w:val="Normal"/>
    <w:link w:val="Titre1Car"/>
    <w:uiPriority w:val="9"/>
    <w:qFormat/>
    <w:pPr>
      <w:keepNext/>
      <w:keepLines/>
      <w:spacing w:before="340" w:after="330" w:line="578" w:lineRule="auto"/>
      <w:outlineLvl w:val="0"/>
    </w:pPr>
    <w:rPr>
      <w:b/>
      <w:bCs/>
      <w:kern w:val="44"/>
      <w:sz w:val="44"/>
      <w:szCs w:val="44"/>
    </w:rPr>
  </w:style>
  <w:style w:type="paragraph" w:styleId="Titre2">
    <w:name w:val="heading 2"/>
    <w:basedOn w:val="Normal"/>
    <w:next w:val="Normal"/>
    <w:link w:val="Titre2Car"/>
    <w:uiPriority w:val="9"/>
    <w:unhideWhenUsed/>
    <w:qFormat/>
    <w:pPr>
      <w:keepNext/>
      <w:keepLines/>
      <w:spacing w:before="260" w:after="260" w:line="416" w:lineRule="auto"/>
      <w:outlineLvl w:val="1"/>
    </w:pPr>
    <w:rPr>
      <w:rFonts w:ascii="Cambria" w:hAnsi="Cambria"/>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rPr>
  </w:style>
  <w:style w:type="paragraph" w:styleId="Commentaire">
    <w:name w:val="annotation text"/>
    <w:basedOn w:val="Normal"/>
    <w:link w:val="CommentaireCar"/>
    <w:uiPriority w:val="99"/>
    <w:unhideWhenUsed/>
    <w:qFormat/>
    <w:pPr>
      <w:jc w:val="left"/>
    </w:pPr>
  </w:style>
  <w:style w:type="paragraph" w:styleId="Date">
    <w:name w:val="Date"/>
    <w:basedOn w:val="Normal"/>
    <w:next w:val="Normal"/>
    <w:link w:val="DateCar"/>
    <w:uiPriority w:val="99"/>
    <w:unhideWhenUsed/>
    <w:qFormat/>
    <w:pPr>
      <w:ind w:leftChars="2500" w:left="100"/>
    </w:pPr>
  </w:style>
  <w:style w:type="paragraph" w:styleId="Textedebulles">
    <w:name w:val="Balloon Text"/>
    <w:basedOn w:val="Normal"/>
    <w:link w:val="TextedebullesCar"/>
    <w:uiPriority w:val="99"/>
    <w:unhideWhenUsed/>
    <w:rPr>
      <w:sz w:val="18"/>
      <w:szCs w:val="18"/>
    </w:rPr>
  </w:style>
  <w:style w:type="paragraph" w:styleId="Pieddepage">
    <w:name w:val="footer"/>
    <w:basedOn w:val="Normal"/>
    <w:link w:val="PieddepageCar"/>
    <w:uiPriority w:val="99"/>
    <w:unhideWhenUsed/>
    <w:qFormat/>
    <w:pPr>
      <w:tabs>
        <w:tab w:val="center" w:pos="4153"/>
        <w:tab w:val="right" w:pos="8306"/>
      </w:tabs>
      <w:snapToGrid w:val="0"/>
      <w:jc w:val="left"/>
    </w:pPr>
    <w:rPr>
      <w:sz w:val="18"/>
      <w:szCs w:val="18"/>
    </w:rPr>
  </w:style>
  <w:style w:type="paragraph" w:styleId="En-tte">
    <w:name w:val="header"/>
    <w:basedOn w:val="Normal"/>
    <w:link w:val="En-tteCar"/>
    <w:uiPriority w:val="99"/>
    <w:unhideWhenUsed/>
    <w:qFormat/>
    <w:pPr>
      <w:pBdr>
        <w:bottom w:val="single" w:sz="6" w:space="1" w:color="auto"/>
      </w:pBdr>
      <w:tabs>
        <w:tab w:val="center" w:pos="4153"/>
        <w:tab w:val="right" w:pos="8306"/>
      </w:tabs>
      <w:snapToGrid w:val="0"/>
      <w:jc w:val="center"/>
    </w:pPr>
    <w:rPr>
      <w:sz w:val="18"/>
      <w:szCs w:val="18"/>
    </w:rPr>
  </w:style>
  <w:style w:type="paragraph" w:styleId="TM1">
    <w:name w:val="toc 1"/>
    <w:basedOn w:val="Normal"/>
    <w:next w:val="Normal"/>
    <w:uiPriority w:val="39"/>
    <w:unhideWhenUsed/>
  </w:style>
  <w:style w:type="paragraph" w:styleId="TM2">
    <w:name w:val="toc 2"/>
    <w:basedOn w:val="Normal"/>
    <w:next w:val="Normal"/>
    <w:uiPriority w:val="39"/>
    <w:unhideWhenUsed/>
    <w:pPr>
      <w:ind w:leftChars="200" w:left="420"/>
    </w:pPr>
  </w:style>
  <w:style w:type="character" w:styleId="Lienhypertexte">
    <w:name w:val="Hyperlink"/>
    <w:basedOn w:val="Policepardfaut"/>
    <w:uiPriority w:val="99"/>
    <w:unhideWhenUsed/>
    <w:qFormat/>
    <w:rPr>
      <w:color w:val="0000FF"/>
      <w:u w:val="single"/>
    </w:rPr>
  </w:style>
  <w:style w:type="character" w:styleId="Marquedecommentaire">
    <w:name w:val="annotation reference"/>
    <w:basedOn w:val="Policepardfaut"/>
    <w:uiPriority w:val="99"/>
    <w:unhideWhenUsed/>
    <w:rPr>
      <w:sz w:val="21"/>
      <w:szCs w:val="21"/>
    </w:rPr>
  </w:style>
  <w:style w:type="paragraph" w:customStyle="1" w:styleId="1">
    <w:name w:val="列出段落1"/>
    <w:basedOn w:val="Normal"/>
    <w:uiPriority w:val="34"/>
    <w:qFormat/>
    <w:pPr>
      <w:ind w:firstLineChars="200" w:firstLine="420"/>
    </w:pPr>
  </w:style>
  <w:style w:type="paragraph" w:customStyle="1" w:styleId="New">
    <w:name w:val="普通(网站) New"/>
    <w:basedOn w:val="Normal"/>
    <w:qFormat/>
    <w:pPr>
      <w:widowControl/>
      <w:jc w:val="left"/>
    </w:pPr>
    <w:rPr>
      <w:rFonts w:ascii="SimSun" w:hAnsi="SimSun" w:cs="SimSun"/>
      <w:kern w:val="0"/>
      <w:sz w:val="24"/>
      <w:szCs w:val="24"/>
    </w:rPr>
  </w:style>
  <w:style w:type="paragraph" w:customStyle="1" w:styleId="NewNewNew">
    <w:name w:val="正文 New New New"/>
    <w:qFormat/>
    <w:pPr>
      <w:widowControl w:val="0"/>
      <w:jc w:val="both"/>
    </w:pPr>
    <w:rPr>
      <w:kern w:val="2"/>
      <w:sz w:val="21"/>
    </w:rPr>
  </w:style>
  <w:style w:type="character" w:customStyle="1" w:styleId="DateCar">
    <w:name w:val="Date Car"/>
    <w:basedOn w:val="Policepardfaut"/>
    <w:link w:val="Date"/>
    <w:uiPriority w:val="99"/>
    <w:semiHidden/>
  </w:style>
  <w:style w:type="character" w:customStyle="1" w:styleId="TextedebullesCar">
    <w:name w:val="Texte de bulles Car"/>
    <w:basedOn w:val="Policepardfaut"/>
    <w:link w:val="Textedebulles"/>
    <w:uiPriority w:val="99"/>
    <w:semiHidden/>
    <w:rPr>
      <w:sz w:val="18"/>
      <w:szCs w:val="18"/>
    </w:rPr>
  </w:style>
  <w:style w:type="character" w:customStyle="1" w:styleId="CommentaireCar">
    <w:name w:val="Commentaire Car"/>
    <w:basedOn w:val="Policepardfaut"/>
    <w:link w:val="Commentaire"/>
    <w:uiPriority w:val="99"/>
    <w:semiHidden/>
  </w:style>
  <w:style w:type="character" w:customStyle="1" w:styleId="ObjetducommentaireCar">
    <w:name w:val="Objet du commentaire Car"/>
    <w:basedOn w:val="CommentaireCar"/>
    <w:link w:val="Objetducommentaire"/>
    <w:uiPriority w:val="99"/>
    <w:semiHidden/>
    <w:rPr>
      <w:b/>
      <w:bCs/>
    </w:rPr>
  </w:style>
  <w:style w:type="character" w:customStyle="1" w:styleId="En-tteCar">
    <w:name w:val="En-tête Car"/>
    <w:basedOn w:val="Policepardfaut"/>
    <w:link w:val="En-tte"/>
    <w:uiPriority w:val="99"/>
    <w:qFormat/>
    <w:rPr>
      <w:sz w:val="18"/>
      <w:szCs w:val="18"/>
    </w:rPr>
  </w:style>
  <w:style w:type="character" w:customStyle="1" w:styleId="PieddepageCar">
    <w:name w:val="Pied de page Car"/>
    <w:basedOn w:val="Policepardfaut"/>
    <w:link w:val="Pieddepage"/>
    <w:uiPriority w:val="99"/>
    <w:qFormat/>
    <w:rPr>
      <w:sz w:val="18"/>
      <w:szCs w:val="18"/>
    </w:rPr>
  </w:style>
  <w:style w:type="character" w:customStyle="1" w:styleId="Titre1Car">
    <w:name w:val="Titre 1 Car"/>
    <w:basedOn w:val="Policepardfaut"/>
    <w:link w:val="Titre1"/>
    <w:uiPriority w:val="9"/>
    <w:rPr>
      <w:b/>
      <w:bCs/>
      <w:kern w:val="44"/>
      <w:sz w:val="44"/>
      <w:szCs w:val="44"/>
    </w:rPr>
  </w:style>
  <w:style w:type="character" w:customStyle="1" w:styleId="Titre2Car">
    <w:name w:val="Titre 2 Car"/>
    <w:basedOn w:val="Policepardfaut"/>
    <w:link w:val="Titre2"/>
    <w:uiPriority w:val="9"/>
    <w:qFormat/>
    <w:rPr>
      <w:rFonts w:ascii="Cambria" w:eastAsia="SimSun" w:hAnsi="Cambria" w:cs="SimHe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EE42D6-F2D0-4F05-ACCD-D5678C4C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中国广东</vt:lpstr>
    </vt:vector>
  </TitlesOfParts>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中国广东</dc:title>
  <dc:creator>tcl</dc:creator>
  <cp:lastModifiedBy>xiaohui qiu - Paris</cp:lastModifiedBy>
  <cp:revision>3</cp:revision>
  <cp:lastPrinted>2017-06-01T02:54:00Z</cp:lastPrinted>
  <dcterms:created xsi:type="dcterms:W3CDTF">2017-06-09T07:36:00Z</dcterms:created>
  <dcterms:modified xsi:type="dcterms:W3CDTF">2017-06-09T08:02:00Z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